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038" w:rsidRPr="00C770CF" w:rsidRDefault="006B1619" w:rsidP="00A03038">
      <w:pPr>
        <w:jc w:val="center"/>
        <w:rPr>
          <w:rFonts w:asciiTheme="minorHAnsi" w:hAnsiTheme="minorHAnsi" w:cstheme="minorHAnsi"/>
          <w:b/>
          <w:sz w:val="22"/>
          <w:szCs w:val="22"/>
        </w:rPr>
      </w:pPr>
      <w:r w:rsidRPr="00C770CF">
        <w:rPr>
          <w:rFonts w:asciiTheme="minorHAnsi" w:hAnsiTheme="minorHAnsi" w:cstheme="minorHAnsi"/>
          <w:sz w:val="22"/>
          <w:szCs w:val="22"/>
        </w:rPr>
        <w:br w:type="textWrapping" w:clear="all"/>
      </w:r>
      <w:r w:rsidR="00A03038" w:rsidRPr="00C770CF">
        <w:rPr>
          <w:rFonts w:asciiTheme="minorHAnsi" w:hAnsiTheme="minorHAnsi" w:cstheme="minorHAnsi"/>
          <w:b/>
          <w:sz w:val="22"/>
          <w:szCs w:val="22"/>
        </w:rPr>
        <w:t>OB Zabok i bolnica hrvatskih veterana</w:t>
      </w:r>
    </w:p>
    <w:p w:rsidR="00A03038" w:rsidRPr="00C770CF" w:rsidRDefault="00A03038" w:rsidP="00A03038">
      <w:pPr>
        <w:jc w:val="center"/>
        <w:rPr>
          <w:rFonts w:asciiTheme="minorHAnsi" w:hAnsiTheme="minorHAnsi" w:cstheme="minorHAnsi"/>
          <w:b/>
          <w:sz w:val="22"/>
          <w:szCs w:val="22"/>
        </w:rPr>
      </w:pPr>
      <w:r w:rsidRPr="00C770CF">
        <w:rPr>
          <w:rFonts w:asciiTheme="minorHAnsi" w:hAnsiTheme="minorHAnsi" w:cstheme="minorHAnsi"/>
          <w:b/>
          <w:sz w:val="22"/>
          <w:szCs w:val="22"/>
        </w:rPr>
        <w:t>Služba za kirurgiju</w:t>
      </w:r>
    </w:p>
    <w:p w:rsidR="00A03038" w:rsidRPr="00C770CF" w:rsidRDefault="00A03038" w:rsidP="00A03038">
      <w:pPr>
        <w:jc w:val="center"/>
        <w:rPr>
          <w:rFonts w:asciiTheme="minorHAnsi" w:hAnsiTheme="minorHAnsi" w:cstheme="minorHAnsi"/>
          <w:b/>
          <w:sz w:val="22"/>
          <w:szCs w:val="22"/>
        </w:rPr>
      </w:pPr>
      <w:r w:rsidRPr="00C770CF">
        <w:rPr>
          <w:rFonts w:asciiTheme="minorHAnsi" w:hAnsiTheme="minorHAnsi" w:cstheme="minorHAnsi"/>
          <w:b/>
          <w:sz w:val="22"/>
          <w:szCs w:val="22"/>
        </w:rPr>
        <w:t>Pročelnik kirurške službe  Zdravko Zelić, dr. med., spec. opće kirurgije</w:t>
      </w:r>
    </w:p>
    <w:p w:rsidR="00A03038" w:rsidRPr="00C770CF" w:rsidRDefault="00A03038" w:rsidP="00A03038">
      <w:pPr>
        <w:jc w:val="center"/>
        <w:rPr>
          <w:rFonts w:asciiTheme="minorHAnsi" w:hAnsiTheme="minorHAnsi" w:cstheme="minorHAnsi"/>
          <w:b/>
          <w:sz w:val="22"/>
          <w:szCs w:val="22"/>
        </w:rPr>
      </w:pPr>
      <w:r w:rsidRPr="00C770CF">
        <w:rPr>
          <w:rFonts w:asciiTheme="minorHAnsi" w:hAnsiTheme="minorHAnsi" w:cstheme="minorHAnsi"/>
          <w:b/>
          <w:sz w:val="22"/>
          <w:szCs w:val="22"/>
        </w:rPr>
        <w:t>i subspecijalist  abdominalne kirurgije</w:t>
      </w:r>
    </w:p>
    <w:p w:rsidR="006D7655" w:rsidRPr="00C770CF" w:rsidRDefault="006D7655" w:rsidP="00A03038">
      <w:pPr>
        <w:jc w:val="center"/>
        <w:rPr>
          <w:rFonts w:asciiTheme="minorHAnsi" w:hAnsiTheme="minorHAnsi" w:cstheme="minorHAnsi"/>
          <w:b/>
          <w:sz w:val="22"/>
          <w:szCs w:val="22"/>
        </w:rPr>
      </w:pPr>
    </w:p>
    <w:p w:rsidR="006D7655" w:rsidRPr="00C770CF" w:rsidRDefault="006D7655" w:rsidP="00A03038">
      <w:pPr>
        <w:jc w:val="center"/>
        <w:rPr>
          <w:rFonts w:asciiTheme="minorHAnsi" w:hAnsiTheme="minorHAnsi" w:cstheme="minorHAnsi"/>
          <w:b/>
          <w:sz w:val="22"/>
          <w:szCs w:val="22"/>
        </w:rPr>
      </w:pPr>
      <w:r w:rsidRPr="00C770CF">
        <w:rPr>
          <w:rFonts w:asciiTheme="minorHAnsi" w:hAnsiTheme="minorHAnsi" w:cstheme="minorHAnsi"/>
          <w:b/>
          <w:sz w:val="22"/>
          <w:szCs w:val="22"/>
        </w:rPr>
        <w:t>Obavijest pacijentu o intravezikalnoj primjeni lijeka</w:t>
      </w:r>
    </w:p>
    <w:p w:rsidR="00A03038" w:rsidRPr="00C770CF" w:rsidRDefault="00A03038" w:rsidP="00A03038">
      <w:pPr>
        <w:jc w:val="center"/>
        <w:rPr>
          <w:rFonts w:asciiTheme="minorHAnsi" w:hAnsiTheme="minorHAnsi" w:cstheme="minorHAnsi"/>
          <w:sz w:val="22"/>
          <w:szCs w:val="22"/>
        </w:rPr>
      </w:pPr>
    </w:p>
    <w:p w:rsidR="00A03038" w:rsidRPr="00C770CF" w:rsidRDefault="00A03038" w:rsidP="00A03038">
      <w:pPr>
        <w:jc w:val="center"/>
        <w:rPr>
          <w:rFonts w:asciiTheme="minorHAnsi" w:hAnsiTheme="minorHAnsi" w:cstheme="minorHAnsi"/>
          <w:b/>
          <w:sz w:val="22"/>
          <w:szCs w:val="22"/>
        </w:rPr>
      </w:pPr>
    </w:p>
    <w:p w:rsidR="00434FCC" w:rsidRPr="00C770CF" w:rsidRDefault="00A03038" w:rsidP="00A03038">
      <w:pPr>
        <w:jc w:val="center"/>
        <w:rPr>
          <w:rFonts w:asciiTheme="minorHAnsi" w:hAnsiTheme="minorHAnsi" w:cstheme="minorHAnsi"/>
          <w:b/>
          <w:sz w:val="22"/>
          <w:szCs w:val="22"/>
        </w:rPr>
      </w:pPr>
      <w:r w:rsidRPr="00C770CF">
        <w:rPr>
          <w:rFonts w:asciiTheme="minorHAnsi" w:hAnsiTheme="minorHAnsi" w:cstheme="minorHAnsi"/>
          <w:b/>
          <w:sz w:val="22"/>
          <w:szCs w:val="22"/>
        </w:rPr>
        <w:t>OBJAŠNJENJE I PISMENI PRISTANAK PACIJENTA NA INTRAVEZIKALNA</w:t>
      </w:r>
      <w:r w:rsidR="00434FCC" w:rsidRPr="00C770CF">
        <w:rPr>
          <w:rFonts w:asciiTheme="minorHAnsi" w:hAnsiTheme="minorHAnsi" w:cstheme="minorHAnsi"/>
          <w:b/>
          <w:sz w:val="22"/>
          <w:szCs w:val="22"/>
        </w:rPr>
        <w:t xml:space="preserve"> PRIMJENU LIJEKA</w:t>
      </w:r>
    </w:p>
    <w:p w:rsidR="00C770CF" w:rsidRDefault="00C770CF" w:rsidP="00434FCC">
      <w:pPr>
        <w:rPr>
          <w:rFonts w:asciiTheme="minorHAnsi" w:hAnsiTheme="minorHAnsi" w:cstheme="minorHAnsi"/>
          <w:b/>
          <w:sz w:val="22"/>
          <w:szCs w:val="22"/>
        </w:rPr>
      </w:pPr>
    </w:p>
    <w:p w:rsidR="00434FCC" w:rsidRPr="00C770CF" w:rsidRDefault="00C770CF" w:rsidP="00434FCC">
      <w:pPr>
        <w:rPr>
          <w:rFonts w:asciiTheme="minorHAnsi" w:hAnsiTheme="minorHAnsi" w:cstheme="minorHAnsi"/>
          <w:b/>
          <w:sz w:val="22"/>
          <w:szCs w:val="22"/>
        </w:rPr>
      </w:pPr>
      <w:r>
        <w:rPr>
          <w:rFonts w:asciiTheme="minorHAnsi" w:hAnsiTheme="minorHAnsi" w:cstheme="minorHAnsi"/>
          <w:b/>
          <w:sz w:val="22"/>
          <w:szCs w:val="22"/>
        </w:rPr>
        <w:t>Opis postupka</w:t>
      </w:r>
      <w:r w:rsidR="00434FCC" w:rsidRPr="00C770CF">
        <w:rPr>
          <w:rFonts w:asciiTheme="minorHAnsi" w:hAnsiTheme="minorHAnsi" w:cstheme="minorHAnsi"/>
          <w:b/>
          <w:sz w:val="22"/>
          <w:szCs w:val="22"/>
        </w:rPr>
        <w:t xml:space="preserve"> </w:t>
      </w:r>
    </w:p>
    <w:p w:rsidR="00434FCC" w:rsidRPr="00C770CF" w:rsidRDefault="00434FCC" w:rsidP="00434FCC">
      <w:pPr>
        <w:rPr>
          <w:rFonts w:asciiTheme="minorHAnsi" w:hAnsiTheme="minorHAnsi" w:cstheme="minorHAnsi"/>
          <w:sz w:val="22"/>
          <w:szCs w:val="22"/>
        </w:rPr>
      </w:pPr>
      <w:r w:rsidRPr="00C770CF">
        <w:rPr>
          <w:rFonts w:asciiTheme="minorHAnsi" w:hAnsiTheme="minorHAnsi" w:cstheme="minorHAnsi"/>
          <w:sz w:val="22"/>
          <w:szCs w:val="22"/>
        </w:rPr>
        <w:t>Intravezikalna primjena lijekova ili intravezikalna instilacija lijeka jest postupak u kojem se lijek u obliku otopine polako ubacuje u mokraćni mjehur kroz urinarni kateter. Lijek se određeno vrijeme zadržava u mjehuru te kasnije najčešće mokrenjem izbacuje iz mjehura. Kod intravezikalne kemoterapije ubacuje se kemoterapeutik, najčešće mitomicin C, koji uzrokuje inhibiciju sinteze DNA u tumorskih stanica. Najčešće se koristi kao neposredna postoperativna terapija radi eliminacije preostalih tumorskih stanica nakon transuretralne resekcije. Intravezikalna imunoterapija se primjenjuje instilacijom BCG-a, što je atenuirani soj Mycobacterium bovis. Nakon primjene uzrokuje upalnu reakciju u sluznici koja naposlijetku uništava tumorske stanice .</w:t>
      </w:r>
    </w:p>
    <w:p w:rsidR="00434FCC" w:rsidRPr="00C770CF" w:rsidRDefault="00434FCC" w:rsidP="00434FCC">
      <w:pPr>
        <w:rPr>
          <w:rFonts w:asciiTheme="minorHAnsi" w:hAnsiTheme="minorHAnsi" w:cstheme="minorHAnsi"/>
          <w:b/>
          <w:sz w:val="22"/>
          <w:szCs w:val="22"/>
        </w:rPr>
      </w:pPr>
      <w:r w:rsidRPr="00C770CF">
        <w:rPr>
          <w:rFonts w:asciiTheme="minorHAnsi" w:hAnsiTheme="minorHAnsi" w:cstheme="minorHAnsi"/>
          <w:sz w:val="22"/>
          <w:szCs w:val="22"/>
        </w:rPr>
        <w:t>Priprema za postupak obuhvaća pripremu lijeka i pacijenta. Uobičajena doza mitomicina C jest 40 mg, dok doza BCG-a ovisi o proizvedenom soju i varira između 1 do 8 puta 10 na osmu potenciju CFU (engl. colony forming units). Pacijenta se polegne u udoban položaj. Anatomija praznog mokraćnog mjehura omogućuje bolji kontakt lijeka sa sluznicom mjehura pa je važno da pacijent isprazni mjehur prije primjene. Prije kateterizacije treba uobičajenim postupkom očistiti vanjski otvor uretre. Za kateterizaciju se najčešće primjenjuje kateter za intermitentnu kateterizaciju. Prije iste aplicira se 10 do 15 ml lubrikanta sa lidokainom.  Volumen otopine koja se aplicira nije veća od 60 ml, što omogućuje osobama sa smanjenim kapacitetom mjehura dobro podnošenje ovakvog liječenja. Ako se radi o neposrednoj postoperativnoj primjeni, lijek je najbolje aplicirati unutar prvih 6 sati. Najčešće vrijeme zadržavanja lijeka u mjehuru jest 1 do 2 sata. Prilikom primjene mitomicina savjetuje se pacijentu svakih 15 minuta mijenjati položaj, bočni, ležeći na trbuh i leđa.</w:t>
      </w:r>
    </w:p>
    <w:p w:rsidR="00A03038" w:rsidRPr="00C770CF" w:rsidRDefault="00A03038" w:rsidP="00434FCC">
      <w:pPr>
        <w:rPr>
          <w:rFonts w:asciiTheme="minorHAnsi" w:hAnsiTheme="minorHAnsi" w:cstheme="minorHAnsi"/>
          <w:b/>
          <w:sz w:val="22"/>
          <w:szCs w:val="22"/>
        </w:rPr>
      </w:pPr>
    </w:p>
    <w:p w:rsidR="00434FCC" w:rsidRPr="00C770CF" w:rsidRDefault="00C770CF" w:rsidP="00434FCC">
      <w:pPr>
        <w:rPr>
          <w:rFonts w:asciiTheme="minorHAnsi" w:hAnsiTheme="minorHAnsi" w:cstheme="minorHAnsi"/>
          <w:b/>
          <w:sz w:val="22"/>
          <w:szCs w:val="22"/>
        </w:rPr>
      </w:pPr>
      <w:r>
        <w:rPr>
          <w:rFonts w:asciiTheme="minorHAnsi" w:hAnsiTheme="minorHAnsi" w:cstheme="minorHAnsi"/>
          <w:b/>
          <w:sz w:val="22"/>
          <w:szCs w:val="22"/>
        </w:rPr>
        <w:t>Mogući rizici postupka</w:t>
      </w:r>
      <w:r w:rsidR="00434FCC" w:rsidRPr="00C770CF">
        <w:rPr>
          <w:rFonts w:asciiTheme="minorHAnsi" w:hAnsiTheme="minorHAnsi" w:cstheme="minorHAnsi"/>
          <w:b/>
          <w:sz w:val="22"/>
          <w:szCs w:val="22"/>
        </w:rPr>
        <w:t xml:space="preserve"> </w:t>
      </w:r>
    </w:p>
    <w:p w:rsidR="00434FCC" w:rsidRPr="00C770CF" w:rsidRDefault="00434FCC" w:rsidP="00434FCC">
      <w:pPr>
        <w:rPr>
          <w:rFonts w:asciiTheme="minorHAnsi" w:hAnsiTheme="minorHAnsi" w:cstheme="minorHAnsi"/>
          <w:sz w:val="22"/>
          <w:szCs w:val="22"/>
        </w:rPr>
      </w:pPr>
      <w:r w:rsidRPr="00C770CF">
        <w:rPr>
          <w:rFonts w:asciiTheme="minorHAnsi" w:hAnsiTheme="minorHAnsi" w:cstheme="minorHAnsi"/>
          <w:sz w:val="22"/>
          <w:szCs w:val="22"/>
        </w:rPr>
        <w:t xml:space="preserve">Kateterizacija mokraćnog mjehura jest rizični čimbenik za unos bakterija u mokraćni mjehur. Bakteriurija je prisutna nakon 1-3% kateterizacija . Važno je primjenjivati načela asepse te u sterilnom okruženju nakon adekvatne toalete spolovila postaviti urinarni kateter. Mitomicin C obično ne uzrokuje sistemske komplikacije te su najčešće nuspojave kemijski cistitis, alergijski osip, palmarna ili genitalna deskvamacija kao posljedica kontaktnog dermatitisa. Kemijski cistitis se najčešće javlja unutar prvih 6 mjeseci od liječenja u oko 10% bolesnika te se očituje iritativnim simptomima poput dizurije, frekvencije, urgencije, suprapubične nelagode, hematurije. Najčešće prolazi spontano te je terapija simptomatska. U oko 10% bolesnika mogu se javiti neke od alergijskih kožnih nuspojava poput generaliziranog osipa ili deskvamacije. Terapija je simptomatska, antihistaminicima i kortikosteroidima. Važna komplikacija neposredne postoperativne intravezikalne primjene mitomicina jest neprimijećena perforacija mokraćnog mjehura. Takvo stanje zahtijeva hitnu cistografiju, procjenu mjesta perforacije (intra ili ekstra peritonealno) te prema tome kirurško ili konzervativno liječenje . </w:t>
      </w:r>
    </w:p>
    <w:p w:rsidR="00434FCC" w:rsidRPr="00C770CF" w:rsidRDefault="00434FCC" w:rsidP="00434FCC">
      <w:pPr>
        <w:rPr>
          <w:rFonts w:asciiTheme="minorHAnsi" w:hAnsiTheme="minorHAnsi" w:cstheme="minorHAnsi"/>
          <w:b/>
          <w:sz w:val="22"/>
          <w:szCs w:val="22"/>
        </w:rPr>
      </w:pPr>
      <w:r w:rsidRPr="00C770CF">
        <w:rPr>
          <w:rFonts w:asciiTheme="minorHAnsi" w:hAnsiTheme="minorHAnsi" w:cstheme="minorHAnsi"/>
          <w:sz w:val="22"/>
          <w:szCs w:val="22"/>
        </w:rPr>
        <w:t>Komplikacije primjene BCG-a su učestalije u usporedbi s intravezikalnom kemoterapijom. Najčešće su iritativne tegobe (urgencija, frekvencija i dizurija) u oko 90% bolesnika. Nakon njih slijedi hematurija, simptomatski granulomatozni prostatitis i orchiepididimitis. Od sistemskih nuspojava treba spomenuti produljeni febrilitet, artralgije, BCG sepsu te alergijske reakcije. Kod sistemskih nuspojava uz simptomatsko liječenje treba uključiti i antituberkulotike.</w:t>
      </w:r>
    </w:p>
    <w:p w:rsidR="00C770CF" w:rsidRDefault="00C770CF" w:rsidP="00434FCC">
      <w:pPr>
        <w:pStyle w:val="Default"/>
        <w:jc w:val="both"/>
        <w:rPr>
          <w:rFonts w:asciiTheme="minorHAnsi" w:eastAsia="Times New Roman" w:hAnsiTheme="minorHAnsi" w:cstheme="minorHAnsi"/>
          <w:color w:val="auto"/>
          <w:sz w:val="22"/>
          <w:szCs w:val="22"/>
          <w:lang w:val="en-US" w:eastAsia="hr-HR"/>
        </w:rPr>
      </w:pPr>
    </w:p>
    <w:p w:rsidR="00434FCC" w:rsidRPr="00C770CF" w:rsidRDefault="00434FCC" w:rsidP="00434FCC">
      <w:pPr>
        <w:pStyle w:val="Default"/>
        <w:jc w:val="both"/>
        <w:rPr>
          <w:rFonts w:asciiTheme="minorHAnsi" w:hAnsiTheme="minorHAnsi" w:cstheme="minorHAnsi"/>
          <w:b/>
          <w:sz w:val="22"/>
          <w:szCs w:val="22"/>
        </w:rPr>
      </w:pPr>
      <w:r w:rsidRPr="00C770CF">
        <w:rPr>
          <w:rFonts w:asciiTheme="minorHAnsi" w:hAnsiTheme="minorHAnsi" w:cstheme="minorHAnsi"/>
          <w:b/>
          <w:sz w:val="22"/>
          <w:szCs w:val="22"/>
        </w:rPr>
        <w:t xml:space="preserve">IZJAVA </w:t>
      </w:r>
      <w:r w:rsidR="00A03038" w:rsidRPr="00C770CF">
        <w:rPr>
          <w:rFonts w:asciiTheme="minorHAnsi" w:hAnsiTheme="minorHAnsi" w:cstheme="minorHAnsi"/>
          <w:b/>
          <w:sz w:val="22"/>
          <w:szCs w:val="22"/>
        </w:rPr>
        <w:t>PACIJENTA</w:t>
      </w:r>
    </w:p>
    <w:p w:rsidR="00434FCC" w:rsidRPr="00C770CF" w:rsidRDefault="00434FCC" w:rsidP="00434FCC">
      <w:pPr>
        <w:pStyle w:val="Default"/>
        <w:jc w:val="both"/>
        <w:rPr>
          <w:rFonts w:asciiTheme="minorHAnsi" w:hAnsiTheme="minorHAnsi" w:cstheme="minorHAnsi"/>
          <w:sz w:val="22"/>
          <w:szCs w:val="22"/>
        </w:rPr>
      </w:pPr>
      <w:r w:rsidRPr="00C770CF">
        <w:rPr>
          <w:rFonts w:asciiTheme="minorHAnsi" w:hAnsiTheme="minorHAnsi" w:cstheme="minorHAnsi"/>
          <w:sz w:val="22"/>
          <w:szCs w:val="22"/>
        </w:rPr>
        <w:t xml:space="preserve"> </w:t>
      </w:r>
    </w:p>
    <w:p w:rsidR="00434FCC" w:rsidRPr="00C770CF" w:rsidRDefault="00434FCC" w:rsidP="00434FCC">
      <w:pPr>
        <w:pStyle w:val="Default"/>
        <w:jc w:val="both"/>
        <w:rPr>
          <w:rFonts w:asciiTheme="minorHAnsi" w:hAnsiTheme="minorHAnsi" w:cstheme="minorHAnsi"/>
          <w:sz w:val="22"/>
          <w:szCs w:val="22"/>
        </w:rPr>
      </w:pPr>
      <w:r w:rsidRPr="00C770CF">
        <w:rPr>
          <w:rFonts w:asciiTheme="minorHAnsi" w:hAnsiTheme="minorHAnsi" w:cstheme="minorHAnsi"/>
          <w:sz w:val="22"/>
          <w:szCs w:val="22"/>
        </w:rPr>
        <w:t>Svojim potpisom potvrđujem da sam na meni jasan i razumljiv način upoznat/a s mojim zdravstvenim stanjem, preporučenim postupkom liječenja, vrstom odabrane anestezije, mogućim kontraindikacijama i rizicima samoga postupka uključujući i rizike koji su specifični s obzirom na moje zdravstveno stanje kao i činjenicom da je uspjeh liječenja varijabilan i da ovisi o nizu čimbenika. Na sve svoje dodatne upite sam dobio/la potpunu informaciju od strane liječnika te u cijelosti preuzimam rizik liječenja navedenim postupkom.</w:t>
      </w:r>
    </w:p>
    <w:p w:rsidR="00434FCC" w:rsidRPr="00C770CF" w:rsidRDefault="00434FCC" w:rsidP="00434FCC">
      <w:pPr>
        <w:pStyle w:val="Default"/>
        <w:jc w:val="both"/>
        <w:rPr>
          <w:rFonts w:asciiTheme="minorHAnsi" w:hAnsiTheme="minorHAnsi" w:cstheme="minorHAnsi"/>
          <w:sz w:val="22"/>
          <w:szCs w:val="22"/>
        </w:rPr>
      </w:pPr>
    </w:p>
    <w:p w:rsidR="00434FCC" w:rsidRPr="00C770CF" w:rsidRDefault="00434FCC" w:rsidP="00434FCC">
      <w:pPr>
        <w:pStyle w:val="Default"/>
        <w:jc w:val="both"/>
        <w:rPr>
          <w:rFonts w:asciiTheme="minorHAnsi" w:hAnsiTheme="minorHAnsi" w:cstheme="minorHAnsi"/>
          <w:sz w:val="22"/>
          <w:szCs w:val="22"/>
        </w:rPr>
      </w:pPr>
      <w:r w:rsidRPr="00C770CF">
        <w:rPr>
          <w:rFonts w:asciiTheme="minorHAnsi" w:hAnsiTheme="minorHAnsi" w:cstheme="minorHAnsi"/>
          <w:sz w:val="22"/>
          <w:szCs w:val="22"/>
        </w:rPr>
        <w:t>Sukladno članku 16. Stavak 3. Zakona o zaštiti prava pacijenata (“Narodne novine broj 169/04), izjavljujem da slobodnom voljom utemeljenoj na potpunoj obavIještenosti,  prihvaćam preporučeni postupak.</w:t>
      </w:r>
    </w:p>
    <w:p w:rsidR="00434FCC" w:rsidRPr="00C770CF" w:rsidRDefault="00434FCC" w:rsidP="00434FCC">
      <w:pPr>
        <w:pStyle w:val="Default"/>
        <w:jc w:val="both"/>
        <w:rPr>
          <w:rFonts w:asciiTheme="minorHAnsi" w:hAnsiTheme="minorHAnsi" w:cstheme="minorHAnsi"/>
          <w:sz w:val="22"/>
          <w:szCs w:val="22"/>
        </w:rPr>
      </w:pPr>
    </w:p>
    <w:p w:rsidR="002355FA" w:rsidRDefault="002355FA" w:rsidP="002355FA">
      <w:pPr>
        <w:jc w:val="both"/>
        <w:rPr>
          <w:rFonts w:asciiTheme="minorHAnsi" w:hAnsiTheme="minorHAnsi" w:cstheme="minorHAnsi"/>
          <w:sz w:val="22"/>
          <w:szCs w:val="22"/>
        </w:rPr>
      </w:pPr>
    </w:p>
    <w:p w:rsidR="002355FA" w:rsidRDefault="002355FA" w:rsidP="002355FA">
      <w:pPr>
        <w:jc w:val="both"/>
        <w:rPr>
          <w:rFonts w:asciiTheme="minorHAnsi" w:hAnsiTheme="minorHAnsi" w:cstheme="minorHAnsi"/>
          <w:sz w:val="22"/>
          <w:szCs w:val="22"/>
        </w:rPr>
      </w:pPr>
      <w:r>
        <w:rPr>
          <w:rFonts w:asciiTheme="minorHAnsi" w:hAnsiTheme="minorHAnsi" w:cstheme="minorHAnsi"/>
          <w:sz w:val="22"/>
          <w:szCs w:val="22"/>
        </w:rPr>
        <w:t>Ime i prezime pacijenta/skrbnika: __________________________________</w:t>
      </w:r>
    </w:p>
    <w:p w:rsidR="002355FA" w:rsidRDefault="002355FA" w:rsidP="00434FCC">
      <w:pPr>
        <w:pStyle w:val="Default"/>
        <w:jc w:val="both"/>
        <w:rPr>
          <w:rFonts w:asciiTheme="minorHAnsi" w:hAnsiTheme="minorHAnsi" w:cstheme="minorHAnsi"/>
          <w:sz w:val="22"/>
          <w:szCs w:val="22"/>
        </w:rPr>
      </w:pPr>
    </w:p>
    <w:p w:rsidR="00434FCC" w:rsidRPr="00C770CF" w:rsidRDefault="00434FCC" w:rsidP="00434FCC">
      <w:pPr>
        <w:pStyle w:val="Default"/>
        <w:jc w:val="both"/>
        <w:rPr>
          <w:rFonts w:asciiTheme="minorHAnsi" w:hAnsiTheme="minorHAnsi" w:cstheme="minorHAnsi"/>
          <w:sz w:val="22"/>
          <w:szCs w:val="22"/>
        </w:rPr>
      </w:pPr>
      <w:r w:rsidRPr="00C770CF">
        <w:rPr>
          <w:rFonts w:asciiTheme="minorHAnsi" w:hAnsiTheme="minorHAnsi" w:cstheme="minorHAnsi"/>
          <w:sz w:val="22"/>
          <w:szCs w:val="22"/>
        </w:rPr>
        <w:t xml:space="preserve">Potpis </w:t>
      </w:r>
      <w:r w:rsidR="00A03038" w:rsidRPr="00C770CF">
        <w:rPr>
          <w:rFonts w:asciiTheme="minorHAnsi" w:hAnsiTheme="minorHAnsi" w:cstheme="minorHAnsi"/>
          <w:sz w:val="22"/>
          <w:szCs w:val="22"/>
        </w:rPr>
        <w:t>pacijenta/skrbnika</w:t>
      </w:r>
      <w:r w:rsidRPr="00C770CF">
        <w:rPr>
          <w:rFonts w:asciiTheme="minorHAnsi" w:hAnsiTheme="minorHAnsi" w:cstheme="minorHAnsi"/>
          <w:sz w:val="22"/>
          <w:szCs w:val="22"/>
        </w:rPr>
        <w:t>: _________________________________</w:t>
      </w:r>
    </w:p>
    <w:p w:rsidR="00A03038" w:rsidRPr="00C770CF" w:rsidRDefault="00A03038" w:rsidP="00434FCC">
      <w:pPr>
        <w:pStyle w:val="Default"/>
        <w:jc w:val="both"/>
        <w:rPr>
          <w:rFonts w:asciiTheme="minorHAnsi" w:hAnsiTheme="minorHAnsi" w:cstheme="minorHAnsi"/>
          <w:sz w:val="22"/>
          <w:szCs w:val="22"/>
        </w:rPr>
      </w:pPr>
    </w:p>
    <w:p w:rsidR="00434FCC" w:rsidRPr="00C770CF" w:rsidRDefault="00434FCC" w:rsidP="00434FCC">
      <w:pPr>
        <w:pStyle w:val="Default"/>
        <w:jc w:val="both"/>
        <w:rPr>
          <w:rFonts w:asciiTheme="minorHAnsi" w:hAnsiTheme="minorHAnsi" w:cstheme="minorHAnsi"/>
          <w:sz w:val="22"/>
          <w:szCs w:val="22"/>
        </w:rPr>
      </w:pPr>
      <w:r w:rsidRPr="00C770CF">
        <w:rPr>
          <w:rFonts w:asciiTheme="minorHAnsi" w:hAnsiTheme="minorHAnsi" w:cstheme="minorHAnsi"/>
          <w:sz w:val="22"/>
          <w:szCs w:val="22"/>
        </w:rPr>
        <w:t>Potpis liječnika: __________________________________</w:t>
      </w:r>
    </w:p>
    <w:p w:rsidR="00434FCC" w:rsidRPr="00C770CF" w:rsidRDefault="00434FCC" w:rsidP="00434FCC">
      <w:pPr>
        <w:rPr>
          <w:rFonts w:asciiTheme="minorHAnsi" w:hAnsiTheme="minorHAnsi" w:cstheme="minorHAnsi"/>
          <w:sz w:val="22"/>
          <w:szCs w:val="22"/>
        </w:rPr>
      </w:pPr>
    </w:p>
    <w:p w:rsidR="00A03038" w:rsidRPr="00C770CF" w:rsidRDefault="00A03038" w:rsidP="00434FCC">
      <w:pPr>
        <w:rPr>
          <w:rFonts w:asciiTheme="minorHAnsi" w:hAnsiTheme="minorHAnsi" w:cstheme="minorHAnsi"/>
          <w:sz w:val="22"/>
          <w:szCs w:val="22"/>
        </w:rPr>
      </w:pPr>
      <w:r w:rsidRPr="00C770CF">
        <w:rPr>
          <w:rFonts w:asciiTheme="minorHAnsi" w:hAnsiTheme="minorHAnsi" w:cstheme="minorHAnsi"/>
          <w:sz w:val="22"/>
          <w:szCs w:val="22"/>
        </w:rPr>
        <w:t>Datum: ______________________________________</w:t>
      </w:r>
    </w:p>
    <w:p w:rsidR="00434FCC" w:rsidRPr="00C770CF" w:rsidRDefault="00434FCC" w:rsidP="00434FCC">
      <w:pPr>
        <w:rPr>
          <w:rFonts w:asciiTheme="minorHAnsi" w:hAnsiTheme="minorHAnsi" w:cstheme="minorHAnsi"/>
          <w:sz w:val="22"/>
          <w:szCs w:val="22"/>
        </w:rPr>
      </w:pPr>
    </w:p>
    <w:p w:rsidR="00434FCC" w:rsidRPr="00C770CF" w:rsidRDefault="00434FCC" w:rsidP="00434FCC">
      <w:pPr>
        <w:rPr>
          <w:rFonts w:asciiTheme="minorHAnsi" w:hAnsiTheme="minorHAnsi" w:cstheme="minorHAnsi"/>
          <w:sz w:val="22"/>
          <w:szCs w:val="22"/>
        </w:rPr>
      </w:pPr>
    </w:p>
    <w:p w:rsidR="00434FCC" w:rsidRPr="00C770CF" w:rsidRDefault="00434FCC" w:rsidP="00434FCC">
      <w:pPr>
        <w:rPr>
          <w:rFonts w:asciiTheme="minorHAnsi" w:hAnsiTheme="minorHAnsi" w:cstheme="minorHAnsi"/>
          <w:sz w:val="22"/>
          <w:szCs w:val="22"/>
        </w:rPr>
      </w:pPr>
    </w:p>
    <w:p w:rsidR="00434FCC" w:rsidRPr="00C770CF" w:rsidRDefault="00434FCC" w:rsidP="00434FCC">
      <w:pPr>
        <w:rPr>
          <w:rFonts w:asciiTheme="minorHAnsi" w:hAnsiTheme="minorHAnsi" w:cstheme="minorHAnsi"/>
          <w:sz w:val="22"/>
          <w:szCs w:val="22"/>
        </w:rPr>
      </w:pPr>
    </w:p>
    <w:p w:rsidR="00434FCC" w:rsidRPr="00C770CF" w:rsidRDefault="00434FCC" w:rsidP="00434FCC">
      <w:pPr>
        <w:rPr>
          <w:rFonts w:asciiTheme="minorHAnsi" w:hAnsiTheme="minorHAnsi" w:cstheme="minorHAnsi"/>
          <w:sz w:val="22"/>
          <w:szCs w:val="22"/>
        </w:rPr>
      </w:pPr>
    </w:p>
    <w:p w:rsidR="00434FCC" w:rsidRPr="00C770CF" w:rsidRDefault="00434FCC" w:rsidP="00434FCC">
      <w:pPr>
        <w:rPr>
          <w:rFonts w:asciiTheme="minorHAnsi" w:hAnsiTheme="minorHAnsi" w:cstheme="minorHAnsi"/>
          <w:sz w:val="22"/>
          <w:szCs w:val="22"/>
        </w:rPr>
      </w:pPr>
    </w:p>
    <w:p w:rsidR="00434FCC" w:rsidRPr="00C770CF" w:rsidRDefault="00434FCC" w:rsidP="00434FCC">
      <w:pPr>
        <w:rPr>
          <w:rFonts w:asciiTheme="minorHAnsi" w:hAnsiTheme="minorHAnsi" w:cstheme="minorHAnsi"/>
          <w:sz w:val="22"/>
          <w:szCs w:val="22"/>
        </w:rPr>
      </w:pPr>
    </w:p>
    <w:p w:rsidR="00434FCC" w:rsidRPr="00C770CF" w:rsidRDefault="00434FCC" w:rsidP="00434FCC">
      <w:pPr>
        <w:rPr>
          <w:rFonts w:asciiTheme="minorHAnsi" w:hAnsiTheme="minorHAnsi" w:cstheme="minorHAnsi"/>
          <w:sz w:val="22"/>
          <w:szCs w:val="22"/>
        </w:rPr>
      </w:pPr>
    </w:p>
    <w:p w:rsidR="00434FCC" w:rsidRPr="00C770CF" w:rsidRDefault="00434FCC" w:rsidP="00434FCC">
      <w:pPr>
        <w:rPr>
          <w:rFonts w:asciiTheme="minorHAnsi" w:hAnsiTheme="minorHAnsi" w:cstheme="minorHAnsi"/>
          <w:sz w:val="22"/>
          <w:szCs w:val="22"/>
        </w:rPr>
      </w:pPr>
    </w:p>
    <w:p w:rsidR="00434FCC" w:rsidRPr="00C770CF" w:rsidRDefault="00434FCC" w:rsidP="00434FCC">
      <w:pPr>
        <w:rPr>
          <w:rFonts w:asciiTheme="minorHAnsi" w:hAnsiTheme="minorHAnsi" w:cstheme="minorHAnsi"/>
          <w:sz w:val="22"/>
          <w:szCs w:val="22"/>
        </w:rPr>
      </w:pPr>
    </w:p>
    <w:p w:rsidR="00434FCC" w:rsidRPr="00C770CF" w:rsidRDefault="00434FCC" w:rsidP="00434FCC">
      <w:pPr>
        <w:rPr>
          <w:rFonts w:asciiTheme="minorHAnsi" w:hAnsiTheme="minorHAnsi" w:cstheme="minorHAnsi"/>
          <w:sz w:val="22"/>
          <w:szCs w:val="22"/>
        </w:rPr>
      </w:pPr>
    </w:p>
    <w:p w:rsidR="00434FCC" w:rsidRPr="00C770CF" w:rsidRDefault="00434FCC" w:rsidP="00434FCC">
      <w:pPr>
        <w:pStyle w:val="Default"/>
        <w:jc w:val="both"/>
        <w:rPr>
          <w:rFonts w:asciiTheme="minorHAnsi" w:hAnsiTheme="minorHAnsi" w:cstheme="minorHAnsi"/>
          <w:color w:val="auto"/>
          <w:sz w:val="22"/>
          <w:szCs w:val="22"/>
        </w:rPr>
      </w:pPr>
    </w:p>
    <w:p w:rsidR="006B1619" w:rsidRPr="00C770CF" w:rsidRDefault="006B1619" w:rsidP="006B1619">
      <w:pPr>
        <w:rPr>
          <w:rFonts w:asciiTheme="minorHAnsi" w:hAnsiTheme="minorHAnsi" w:cstheme="minorHAnsi"/>
          <w:sz w:val="22"/>
          <w:szCs w:val="22"/>
        </w:rPr>
      </w:pPr>
    </w:p>
    <w:p w:rsidR="0008382C" w:rsidRPr="00C770CF" w:rsidRDefault="0008382C" w:rsidP="00A50B0D">
      <w:pPr>
        <w:rPr>
          <w:rFonts w:asciiTheme="minorHAnsi" w:hAnsiTheme="minorHAnsi" w:cstheme="minorHAnsi"/>
          <w:sz w:val="22"/>
          <w:szCs w:val="22"/>
        </w:rPr>
      </w:pPr>
    </w:p>
    <w:sectPr w:rsidR="0008382C" w:rsidRPr="00C770CF"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EDB" w:rsidRDefault="00E50EDB">
      <w:r>
        <w:separator/>
      </w:r>
    </w:p>
  </w:endnote>
  <w:endnote w:type="continuationSeparator" w:id="0">
    <w:p w:rsidR="00E50EDB" w:rsidRDefault="00E50ED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F1718E">
      <w:trPr>
        <w:trHeight w:val="378"/>
      </w:trPr>
      <w:tc>
        <w:tcPr>
          <w:tcW w:w="5000" w:type="pct"/>
          <w:tcBorders>
            <w:top w:val="single" w:sz="12" w:space="0" w:color="548FCC"/>
            <w:bottom w:val="single" w:sz="8" w:space="0" w:color="548FCC"/>
          </w:tcBorders>
          <w:vAlign w:val="center"/>
          <w:hideMark/>
        </w:tcPr>
        <w:p w:rsidR="00AE265C" w:rsidRDefault="00AE265C" w:rsidP="00F1718E">
          <w:pPr>
            <w:pStyle w:val="Podnoje"/>
            <w:spacing w:before="60" w:after="60"/>
            <w:jc w:val="center"/>
            <w:rPr>
              <w:i/>
              <w:sz w:val="16"/>
              <w:szCs w:val="16"/>
              <w:lang w:val="en-GB"/>
            </w:rPr>
          </w:pPr>
          <w:bookmarkStart w:id="0" w:name="_GoBack"/>
          <w:bookmarkEnd w:id="0"/>
        </w:p>
      </w:tc>
    </w:tr>
  </w:tbl>
  <w:p w:rsidR="00A51027" w:rsidRPr="00DF4AF4" w:rsidRDefault="00434FCC" w:rsidP="00434FCC">
    <w:pPr>
      <w:pStyle w:val="Zaglavlje"/>
      <w:spacing w:before="120" w:after="120"/>
      <w:rPr>
        <w:b/>
        <w:i/>
        <w:sz w:val="12"/>
        <w:szCs w:val="12"/>
      </w:rPr>
    </w:pPr>
    <w:r>
      <w:rPr>
        <w:rFonts w:ascii="Arial" w:hAnsi="Arial" w:cs="Arial"/>
        <w:b/>
        <w:sz w:val="22"/>
        <w:szCs w:val="22"/>
      </w:rPr>
      <w:t>KIR-OBR.12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027" w:rsidRPr="00434FCC" w:rsidRDefault="00434FCC" w:rsidP="00434FCC">
    <w:pPr>
      <w:pStyle w:val="Podnoje"/>
    </w:pPr>
    <w:r>
      <w:rPr>
        <w:rFonts w:cs="Arial"/>
        <w:b/>
        <w:szCs w:val="22"/>
      </w:rPr>
      <w:t>KIR-OBR.12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EDB" w:rsidRDefault="00E50EDB">
      <w:r>
        <w:separator/>
      </w:r>
    </w:p>
  </w:footnote>
  <w:footnote w:type="continuationSeparator" w:id="0">
    <w:p w:rsidR="00E50EDB" w:rsidRDefault="00E50E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434FCC" w:rsidTr="00434FCC">
      <w:trPr>
        <w:trHeight w:val="284"/>
      </w:trPr>
      <w:tc>
        <w:tcPr>
          <w:tcW w:w="1127" w:type="pct"/>
          <w:vMerge w:val="restart"/>
          <w:shd w:val="clear" w:color="auto" w:fill="auto"/>
          <w:tcMar>
            <w:left w:w="108" w:type="dxa"/>
            <w:right w:w="108" w:type="dxa"/>
          </w:tcMar>
          <w:vAlign w:val="center"/>
        </w:tcPr>
        <w:p w:rsidR="00434FCC" w:rsidRPr="00113037" w:rsidRDefault="00434FCC"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434FCC" w:rsidRPr="00C770CF" w:rsidRDefault="00434FCC" w:rsidP="00F622A0">
          <w:pPr>
            <w:jc w:val="center"/>
            <w:rPr>
              <w:rFonts w:asciiTheme="minorHAnsi" w:hAnsiTheme="minorHAnsi" w:cstheme="minorHAnsi"/>
              <w:b/>
            </w:rPr>
          </w:pPr>
          <w:r w:rsidRPr="00C770CF">
            <w:rPr>
              <w:rFonts w:asciiTheme="minorHAnsi" w:hAnsiTheme="minorHAnsi" w:cstheme="minorHAnsi"/>
              <w:b/>
            </w:rPr>
            <w:t>Informirani pristanak – intravezikalna primjena lijeka</w:t>
          </w:r>
        </w:p>
      </w:tc>
      <w:tc>
        <w:tcPr>
          <w:tcW w:w="845" w:type="pct"/>
          <w:vAlign w:val="center"/>
        </w:tcPr>
        <w:p w:rsidR="00434FCC" w:rsidRPr="00997D88" w:rsidRDefault="00434FCC" w:rsidP="008374BA">
          <w:pPr>
            <w:jc w:val="right"/>
            <w:rPr>
              <w:rFonts w:ascii="Arial" w:hAnsi="Arial" w:cs="Arial"/>
              <w:b/>
              <w:sz w:val="22"/>
              <w:szCs w:val="22"/>
            </w:rPr>
          </w:pPr>
          <w:r>
            <w:rPr>
              <w:rFonts w:ascii="Arial" w:hAnsi="Arial" w:cs="Arial"/>
              <w:b/>
              <w:sz w:val="22"/>
              <w:szCs w:val="22"/>
            </w:rPr>
            <w:t>KIR-OBR.12</w:t>
          </w:r>
        </w:p>
      </w:tc>
    </w:tr>
    <w:tr w:rsidR="00434FCC" w:rsidTr="00434FCC">
      <w:trPr>
        <w:trHeight w:val="284"/>
      </w:trPr>
      <w:tc>
        <w:tcPr>
          <w:tcW w:w="1127" w:type="pct"/>
          <w:vMerge/>
          <w:shd w:val="clear" w:color="auto" w:fill="auto"/>
          <w:tcMar>
            <w:left w:w="108" w:type="dxa"/>
            <w:right w:w="108" w:type="dxa"/>
          </w:tcMar>
          <w:vAlign w:val="center"/>
        </w:tcPr>
        <w:p w:rsidR="00434FCC" w:rsidRPr="00113037" w:rsidRDefault="00434FCC" w:rsidP="00F622A0">
          <w:pPr>
            <w:jc w:val="center"/>
          </w:pPr>
        </w:p>
      </w:tc>
      <w:tc>
        <w:tcPr>
          <w:tcW w:w="3028" w:type="pct"/>
          <w:vMerge/>
          <w:shd w:val="clear" w:color="auto" w:fill="auto"/>
          <w:tcMar>
            <w:left w:w="108" w:type="dxa"/>
            <w:right w:w="108" w:type="dxa"/>
          </w:tcMar>
          <w:vAlign w:val="center"/>
        </w:tcPr>
        <w:p w:rsidR="00434FCC" w:rsidRDefault="00434FCC" w:rsidP="00F622A0">
          <w:pPr>
            <w:jc w:val="center"/>
            <w:rPr>
              <w:rFonts w:cs="Arial"/>
              <w:b/>
              <w:sz w:val="28"/>
              <w:szCs w:val="28"/>
            </w:rPr>
          </w:pPr>
        </w:p>
      </w:tc>
      <w:tc>
        <w:tcPr>
          <w:tcW w:w="845" w:type="pct"/>
          <w:vAlign w:val="center"/>
        </w:tcPr>
        <w:p w:rsidR="00434FCC" w:rsidRPr="00997D88" w:rsidRDefault="00434FCC" w:rsidP="008374BA">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434FCC" w:rsidTr="00434FCC">
      <w:trPr>
        <w:trHeight w:val="284"/>
      </w:trPr>
      <w:tc>
        <w:tcPr>
          <w:tcW w:w="1127" w:type="pct"/>
          <w:vMerge/>
          <w:shd w:val="clear" w:color="auto" w:fill="auto"/>
          <w:tcMar>
            <w:left w:w="108" w:type="dxa"/>
            <w:right w:w="108" w:type="dxa"/>
          </w:tcMar>
          <w:vAlign w:val="center"/>
        </w:tcPr>
        <w:p w:rsidR="00434FCC" w:rsidRPr="00113037" w:rsidRDefault="00434FCC" w:rsidP="00F622A0">
          <w:pPr>
            <w:jc w:val="center"/>
          </w:pPr>
        </w:p>
      </w:tc>
      <w:tc>
        <w:tcPr>
          <w:tcW w:w="3028" w:type="pct"/>
          <w:vMerge/>
          <w:shd w:val="clear" w:color="auto" w:fill="auto"/>
          <w:tcMar>
            <w:left w:w="108" w:type="dxa"/>
            <w:right w:w="108" w:type="dxa"/>
          </w:tcMar>
          <w:vAlign w:val="center"/>
        </w:tcPr>
        <w:p w:rsidR="00434FCC" w:rsidRDefault="00434FCC" w:rsidP="00F622A0">
          <w:pPr>
            <w:jc w:val="center"/>
            <w:rPr>
              <w:rFonts w:cs="Arial"/>
              <w:b/>
              <w:sz w:val="28"/>
              <w:szCs w:val="28"/>
            </w:rPr>
          </w:pPr>
        </w:p>
      </w:tc>
      <w:tc>
        <w:tcPr>
          <w:tcW w:w="845" w:type="pct"/>
          <w:vAlign w:val="center"/>
        </w:tcPr>
        <w:p w:rsidR="00434FCC" w:rsidRPr="00997D88" w:rsidRDefault="00434FCC" w:rsidP="008374BA">
          <w:pPr>
            <w:jc w:val="right"/>
            <w:rPr>
              <w:rFonts w:ascii="Arial" w:hAnsi="Arial" w:cs="Arial"/>
              <w:b/>
              <w:sz w:val="22"/>
              <w:szCs w:val="22"/>
            </w:rPr>
          </w:pPr>
          <w:r>
            <w:rPr>
              <w:rFonts w:ascii="Arial" w:hAnsi="Arial" w:cs="Arial"/>
              <w:b/>
              <w:sz w:val="22"/>
              <w:szCs w:val="22"/>
            </w:rPr>
            <w:t>17.4.2023.</w:t>
          </w:r>
        </w:p>
      </w:tc>
    </w:tr>
    <w:tr w:rsidR="00434FCC" w:rsidTr="00434FCC">
      <w:trPr>
        <w:trHeight w:val="284"/>
      </w:trPr>
      <w:tc>
        <w:tcPr>
          <w:tcW w:w="1127" w:type="pct"/>
          <w:vMerge/>
          <w:shd w:val="clear" w:color="auto" w:fill="auto"/>
          <w:tcMar>
            <w:left w:w="108" w:type="dxa"/>
            <w:right w:w="108" w:type="dxa"/>
          </w:tcMar>
          <w:vAlign w:val="center"/>
        </w:tcPr>
        <w:p w:rsidR="00434FCC" w:rsidRPr="00113037" w:rsidRDefault="00434FCC" w:rsidP="00F622A0">
          <w:pPr>
            <w:jc w:val="center"/>
          </w:pPr>
        </w:p>
      </w:tc>
      <w:tc>
        <w:tcPr>
          <w:tcW w:w="3028" w:type="pct"/>
          <w:vMerge/>
          <w:shd w:val="clear" w:color="auto" w:fill="auto"/>
          <w:tcMar>
            <w:left w:w="108" w:type="dxa"/>
            <w:right w:w="108" w:type="dxa"/>
          </w:tcMar>
          <w:vAlign w:val="center"/>
        </w:tcPr>
        <w:p w:rsidR="00434FCC" w:rsidRDefault="00434FCC" w:rsidP="00F622A0">
          <w:pPr>
            <w:jc w:val="center"/>
            <w:rPr>
              <w:rFonts w:cs="Arial"/>
              <w:b/>
              <w:sz w:val="28"/>
              <w:szCs w:val="28"/>
            </w:rPr>
          </w:pPr>
        </w:p>
      </w:tc>
      <w:tc>
        <w:tcPr>
          <w:tcW w:w="845" w:type="pct"/>
          <w:vAlign w:val="center"/>
        </w:tcPr>
        <w:p w:rsidR="00434FCC" w:rsidRPr="00997D88" w:rsidRDefault="00434FCC" w:rsidP="008374BA">
          <w:pPr>
            <w:jc w:val="right"/>
            <w:rPr>
              <w:rFonts w:ascii="Arial" w:hAnsi="Arial" w:cs="Arial"/>
              <w:b/>
              <w:sz w:val="22"/>
              <w:szCs w:val="22"/>
            </w:rPr>
          </w:pPr>
          <w:r w:rsidRPr="00997D88">
            <w:rPr>
              <w:rFonts w:ascii="Arial" w:hAnsi="Arial" w:cs="Arial"/>
              <w:sz w:val="22"/>
              <w:szCs w:val="22"/>
            </w:rPr>
            <w:t xml:space="preserve">List: </w:t>
          </w:r>
          <w:r w:rsidR="00FE369E"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FE369E" w:rsidRPr="00997D88">
            <w:rPr>
              <w:rStyle w:val="Brojstranice"/>
              <w:rFonts w:ascii="Arial" w:hAnsi="Arial" w:cs="Arial"/>
              <w:b/>
              <w:sz w:val="22"/>
              <w:szCs w:val="22"/>
            </w:rPr>
            <w:fldChar w:fldCharType="separate"/>
          </w:r>
          <w:r w:rsidR="002355FA">
            <w:rPr>
              <w:rStyle w:val="Brojstranice"/>
              <w:rFonts w:ascii="Arial" w:hAnsi="Arial" w:cs="Arial"/>
              <w:b/>
              <w:noProof/>
              <w:sz w:val="22"/>
              <w:szCs w:val="22"/>
            </w:rPr>
            <w:t>2</w:t>
          </w:r>
          <w:r w:rsidR="00FE369E"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FE369E"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FE369E" w:rsidRPr="00997D88">
            <w:rPr>
              <w:rStyle w:val="Brojstranice"/>
              <w:rFonts w:ascii="Arial" w:hAnsi="Arial" w:cs="Arial"/>
              <w:b/>
              <w:sz w:val="22"/>
              <w:szCs w:val="22"/>
            </w:rPr>
            <w:fldChar w:fldCharType="separate"/>
          </w:r>
          <w:r w:rsidR="002355FA">
            <w:rPr>
              <w:rStyle w:val="Brojstranice"/>
              <w:rFonts w:ascii="Arial" w:hAnsi="Arial" w:cs="Arial"/>
              <w:b/>
              <w:noProof/>
              <w:sz w:val="22"/>
              <w:szCs w:val="22"/>
            </w:rPr>
            <w:t>2</w:t>
          </w:r>
          <w:r w:rsidR="00FE369E"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C770CF" w:rsidRDefault="00434FCC" w:rsidP="00B665F7">
          <w:pPr>
            <w:jc w:val="center"/>
            <w:rPr>
              <w:rFonts w:asciiTheme="minorHAnsi" w:hAnsiTheme="minorHAnsi" w:cstheme="minorHAnsi"/>
              <w:b/>
            </w:rPr>
          </w:pPr>
          <w:r w:rsidRPr="00C770CF">
            <w:rPr>
              <w:rFonts w:asciiTheme="minorHAnsi" w:hAnsiTheme="minorHAnsi" w:cstheme="minorHAnsi"/>
              <w:b/>
            </w:rPr>
            <w:t>Informirani pristanak – intravezikalna primjena lijeka</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434FCC">
            <w:rPr>
              <w:rFonts w:ascii="Arial" w:hAnsi="Arial" w:cs="Arial"/>
              <w:b/>
              <w:sz w:val="22"/>
              <w:szCs w:val="22"/>
            </w:rPr>
            <w:t>12</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FE369E"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FE369E" w:rsidRPr="00997D88">
            <w:rPr>
              <w:rStyle w:val="Brojstranice"/>
              <w:rFonts w:ascii="Arial" w:hAnsi="Arial" w:cs="Arial"/>
              <w:b/>
              <w:sz w:val="22"/>
              <w:szCs w:val="22"/>
            </w:rPr>
            <w:fldChar w:fldCharType="separate"/>
          </w:r>
          <w:r w:rsidR="002355FA">
            <w:rPr>
              <w:rStyle w:val="Brojstranice"/>
              <w:rFonts w:ascii="Arial" w:hAnsi="Arial" w:cs="Arial"/>
              <w:b/>
              <w:noProof/>
              <w:sz w:val="22"/>
              <w:szCs w:val="22"/>
            </w:rPr>
            <w:t>1</w:t>
          </w:r>
          <w:r w:rsidR="00FE369E"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FE369E"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FE369E" w:rsidRPr="00997D88">
            <w:rPr>
              <w:rStyle w:val="Brojstranice"/>
              <w:rFonts w:ascii="Arial" w:hAnsi="Arial" w:cs="Arial"/>
              <w:b/>
              <w:sz w:val="22"/>
              <w:szCs w:val="22"/>
            </w:rPr>
            <w:fldChar w:fldCharType="separate"/>
          </w:r>
          <w:r w:rsidR="002355FA">
            <w:rPr>
              <w:rStyle w:val="Brojstranice"/>
              <w:rFonts w:ascii="Arial" w:hAnsi="Arial" w:cs="Arial"/>
              <w:b/>
              <w:noProof/>
              <w:sz w:val="22"/>
              <w:szCs w:val="22"/>
            </w:rPr>
            <w:t>2</w:t>
          </w:r>
          <w:r w:rsidR="00FE369E"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5842"/>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018"/>
    <w:rsid w:val="00211EEC"/>
    <w:rsid w:val="00212240"/>
    <w:rsid w:val="00212E0A"/>
    <w:rsid w:val="00221628"/>
    <w:rsid w:val="002355FA"/>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069DB"/>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4FCC"/>
    <w:rsid w:val="00436FF3"/>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6002FD"/>
    <w:rsid w:val="00601288"/>
    <w:rsid w:val="00605EDB"/>
    <w:rsid w:val="00605EE6"/>
    <w:rsid w:val="006060AA"/>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655"/>
    <w:rsid w:val="006D78D9"/>
    <w:rsid w:val="006E08EF"/>
    <w:rsid w:val="006E181A"/>
    <w:rsid w:val="006F0B67"/>
    <w:rsid w:val="006F49B7"/>
    <w:rsid w:val="006F5719"/>
    <w:rsid w:val="006F6704"/>
    <w:rsid w:val="0070615B"/>
    <w:rsid w:val="00706233"/>
    <w:rsid w:val="00706BB9"/>
    <w:rsid w:val="00707E4F"/>
    <w:rsid w:val="00713458"/>
    <w:rsid w:val="00721F8F"/>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A55AB"/>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658BB"/>
    <w:rsid w:val="00872892"/>
    <w:rsid w:val="00880844"/>
    <w:rsid w:val="008825C7"/>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3038"/>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4610"/>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0CF"/>
    <w:rsid w:val="00C774A4"/>
    <w:rsid w:val="00C77F4D"/>
    <w:rsid w:val="00C802E0"/>
    <w:rsid w:val="00C8427C"/>
    <w:rsid w:val="00C85813"/>
    <w:rsid w:val="00C93A84"/>
    <w:rsid w:val="00C95C70"/>
    <w:rsid w:val="00CA6D44"/>
    <w:rsid w:val="00CB32BA"/>
    <w:rsid w:val="00CC182B"/>
    <w:rsid w:val="00CC23AE"/>
    <w:rsid w:val="00CC2BEE"/>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50EDB"/>
    <w:rsid w:val="00E60A4B"/>
    <w:rsid w:val="00E647A8"/>
    <w:rsid w:val="00E6700F"/>
    <w:rsid w:val="00E73355"/>
    <w:rsid w:val="00E77417"/>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0E8"/>
    <w:rsid w:val="00EF3294"/>
    <w:rsid w:val="00EF3DD7"/>
    <w:rsid w:val="00F05765"/>
    <w:rsid w:val="00F066B8"/>
    <w:rsid w:val="00F06E06"/>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E369E"/>
    <w:rsid w:val="00FF2328"/>
    <w:rsid w:val="00FF5674"/>
    <w:rsid w:val="00FF5C80"/>
    <w:rsid w:val="00FF776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 w:type="paragraph" w:customStyle="1" w:styleId="Default">
    <w:name w:val="Default"/>
    <w:rsid w:val="00434FCC"/>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 w:type="paragraph" w:customStyle="1" w:styleId="Default">
    <w:name w:val="Default"/>
    <w:rsid w:val="00434FCC"/>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070538828">
      <w:bodyDiv w:val="1"/>
      <w:marLeft w:val="0"/>
      <w:marRight w:val="0"/>
      <w:marTop w:val="0"/>
      <w:marBottom w:val="0"/>
      <w:divBdr>
        <w:top w:val="none" w:sz="0" w:space="0" w:color="auto"/>
        <w:left w:val="none" w:sz="0" w:space="0" w:color="auto"/>
        <w:bottom w:val="none" w:sz="0" w:space="0" w:color="auto"/>
        <w:right w:val="none" w:sz="0" w:space="0" w:color="auto"/>
      </w:divBdr>
    </w:div>
    <w:div w:id="1250962183">
      <w:bodyDiv w:val="1"/>
      <w:marLeft w:val="0"/>
      <w:marRight w:val="0"/>
      <w:marTop w:val="0"/>
      <w:marBottom w:val="0"/>
      <w:divBdr>
        <w:top w:val="none" w:sz="0" w:space="0" w:color="auto"/>
        <w:left w:val="none" w:sz="0" w:space="0" w:color="auto"/>
        <w:bottom w:val="none" w:sz="0" w:space="0" w:color="auto"/>
        <w:right w:val="none" w:sz="0" w:space="0" w:color="auto"/>
      </w:divBdr>
    </w:div>
    <w:div w:id="1920096230">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3D453-5BEB-4764-ADFD-908BB850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4</TotalTime>
  <Pages>2</Pages>
  <Words>716</Words>
  <Characters>4086</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4793</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7</cp:revision>
  <cp:lastPrinted>2012-08-06T20:37:00Z</cp:lastPrinted>
  <dcterms:created xsi:type="dcterms:W3CDTF">2023-04-21T09:28:00Z</dcterms:created>
  <dcterms:modified xsi:type="dcterms:W3CDTF">2023-11-28T07:31:00Z</dcterms:modified>
</cp:coreProperties>
</file>