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90" w:rsidRPr="00D451EA" w:rsidRDefault="006B1619" w:rsidP="00064390">
      <w:pPr>
        <w:jc w:val="center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D451EA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D451EA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64390" w:rsidRPr="00D451EA" w:rsidRDefault="00064390" w:rsidP="0006439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451EA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OBJAŠNJENJE I PISMENI PRISTANAK PACIJENTA NA OPERATIVNI ZAHVAT -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3DE6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603DE6" w:rsidRPr="00D451EA">
        <w:rPr>
          <w:rFonts w:asciiTheme="minorHAnsi" w:hAnsiTheme="minorHAnsi" w:cstheme="minorHAnsi"/>
          <w:b/>
          <w:sz w:val="22"/>
          <w:szCs w:val="22"/>
        </w:rPr>
        <w:t>OPERACIJA PREPONSKE/FEMORALNE HERNIJE - LAPAROSKOPSKI</w:t>
      </w:r>
    </w:p>
    <w:p w:rsidR="00064390" w:rsidRPr="00D451EA" w:rsidRDefault="00064390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OPIS POSTUPKA 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Hernija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bruh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ili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kila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pojava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ispupčenja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organa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dijela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organa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ili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tkiva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iz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svog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normalnog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anatomskog</w:t>
      </w:r>
      <w:proofErr w:type="spellEnd"/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položaja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Najčešće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javlja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trbušnoj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šupljini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kombinacija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slabijih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anatomskih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struktura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trbušne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stijenke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proofErr w:type="spellStart"/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D451EA">
        <w:rPr>
          <w:rFonts w:asciiTheme="minorHAnsi" w:hAnsiTheme="minorHAnsi" w:cstheme="minorHAnsi"/>
          <w:color w:val="000000"/>
          <w:sz w:val="22"/>
          <w:szCs w:val="22"/>
        </w:rPr>
        <w:t>ećeg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fizičkog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napora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posebno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predjelu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prednjeg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trbušnog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zida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03DE6" w:rsidRPr="00D451EA" w:rsidRDefault="00603DE6" w:rsidP="00603DE6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Liječnik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mi je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objasnio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bolujem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od</w:t>
      </w:r>
      <w:proofErr w:type="spellEnd"/>
    </w:p>
    <w:p w:rsidR="00603DE6" w:rsidRPr="00D451EA" w:rsidRDefault="00603DE6" w:rsidP="00603DE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(Dg.)______________________________________________________,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se</w:t>
      </w:r>
      <w:r w:rsid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preporučuje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provođenje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operativnog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postupka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LPSC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preponske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kile</w:t>
      </w:r>
      <w:proofErr w:type="spellEnd"/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4390" w:rsidRPr="00D451EA" w:rsidRDefault="00064390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Sam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sz w:val="22"/>
          <w:szCs w:val="22"/>
        </w:rPr>
        <w:t>suzastupljene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sz w:val="22"/>
          <w:szCs w:val="22"/>
        </w:rPr>
        <w:t>laparoskopske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transabdominalne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preperitonealne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tehnike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TAPP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totalne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ekstraperitonealne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tehnike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TEP.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Razlika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ovih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tehnika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načinu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pristupanja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herniji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TAPP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ulazi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početnom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periumbilikalnom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incizijom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uvode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troakari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njih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različiti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endoskopski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uređaji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Verresove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igle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insuflira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ugljikov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dioksid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kameri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vizualiziraju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strukture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preponskom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kanalu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Sa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stražnje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herniji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otvara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preperitonealni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prostor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zbrinjavanja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kilne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vreće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sadržaja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fiksira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mrežica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</w:t>
      </w:r>
      <w:r w:rsid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preperitonealnom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prostoru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veća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defekt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kilnog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naposljetku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zatvori</w:t>
      </w:r>
      <w:proofErr w:type="spellEnd"/>
      <w:r w:rsid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parijetalni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peritoneum.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totalne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ekstraperitonealne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endoskopske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do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kile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otvara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trbušna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šupljina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balon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disektorom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ulazi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stijenku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trbuha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preperitonealni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prostor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TAPP procedure.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tehničkih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poteškoća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sigurnosnih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razloga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izvesti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laparoskopski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sz w:val="22"/>
          <w:szCs w:val="22"/>
        </w:rPr>
        <w:t>o</w:t>
      </w:r>
      <w:r w:rsidRPr="00D451EA">
        <w:rPr>
          <w:rFonts w:asciiTheme="minorHAnsi" w:hAnsiTheme="minorHAnsi" w:cstheme="minorHAnsi"/>
          <w:sz w:val="22"/>
          <w:szCs w:val="22"/>
        </w:rPr>
        <w:t>peracija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nastavlja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klasična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.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064390" w:rsidRPr="00D451EA" w:rsidRDefault="00064390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Iako rijetke, komplikacije ovog terapijskog postupka mogu biti: 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Hematom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Produljena postoperativna bol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Ozljeda abdominalnih organa I velikih krvnih žila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• Priraslice crijeva s mogućim razvojem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ileusa</w:t>
      </w:r>
      <w:proofErr w:type="spellEnd"/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Površinska infekcija rane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Infekcija mrežice I dubljih struktura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Migracija mrežice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Recidiv kile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zamjena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klasičnom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– „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otvorenom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operacijom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obavi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preporučeno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operacijsko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jedino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odgoda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nošenje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steznika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Postepeno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neminovnost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brzina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napredovanja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tog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procesa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potpunosti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nepredvidiva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Ovim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pasivnim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pristupom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raste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uklještenja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hitne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indikacije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</w:t>
      </w:r>
      <w:r w:rsidR="00E06348" w:rsidRPr="00D451EA">
        <w:rPr>
          <w:rFonts w:asciiTheme="minorHAnsi" w:hAnsiTheme="minorHAnsi" w:cstheme="minorHAnsi"/>
          <w:sz w:val="22"/>
          <w:szCs w:val="22"/>
        </w:rPr>
        <w:t>kroze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resekcije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vitalne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ugroženosti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6B80" w:rsidRPr="00D451EA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.</w:t>
      </w: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5F6B80" w:rsidRPr="00D451EA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.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.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</w:p>
    <w:p w:rsidR="006061D2" w:rsidRDefault="006061D2" w:rsidP="006061D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61D2" w:rsidRDefault="006061D2" w:rsidP="006061D2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6061D2" w:rsidRDefault="006061D2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: ____________________________________</w:t>
      </w: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: _____________________________________</w:t>
      </w:r>
    </w:p>
    <w:p w:rsidR="0008382C" w:rsidRPr="00D451EA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p w:rsidR="00E06348" w:rsidRPr="00D451EA" w:rsidRDefault="00E06348" w:rsidP="00A50B0D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Datum: __________________________________________</w:t>
      </w:r>
    </w:p>
    <w:sectPr w:rsidR="00E06348" w:rsidRPr="00D451EA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5D" w:rsidRDefault="0089645D">
      <w:r>
        <w:separator/>
      </w:r>
    </w:p>
  </w:endnote>
  <w:endnote w:type="continuationSeparator" w:id="0">
    <w:p w:rsidR="0089645D" w:rsidRDefault="0089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603DE6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603DE6" w:rsidP="00603DE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603DE6" w:rsidP="00603DE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5D" w:rsidRDefault="0089645D">
      <w:r>
        <w:separator/>
      </w:r>
    </w:p>
  </w:footnote>
  <w:footnote w:type="continuationSeparator" w:id="0">
    <w:p w:rsidR="0089645D" w:rsidRDefault="0089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603DE6" w:rsidTr="00603DE6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D451EA" w:rsidRDefault="00603DE6" w:rsidP="00E024F1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451EA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preponske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femoralne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hernije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laparoskopski</w:t>
          </w:r>
          <w:proofErr w:type="spellEnd"/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KIR-OBR.23</w:t>
          </w:r>
        </w:p>
      </w:tc>
    </w:tr>
    <w:tr w:rsidR="00603DE6" w:rsidTr="00603DE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Default="00603DE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03DE6" w:rsidTr="00603DE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Default="00603DE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603DE6" w:rsidTr="00603DE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Default="00603DE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061D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061D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D451EA" w:rsidRDefault="00603DE6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451EA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preponske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femoralne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hernije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laparoskopski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603DE6">
            <w:rPr>
              <w:rFonts w:ascii="Arial" w:hAnsi="Arial" w:cs="Arial"/>
              <w:b/>
              <w:sz w:val="22"/>
              <w:szCs w:val="22"/>
            </w:rPr>
            <w:t>23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061D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061D2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221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4390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4080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2180"/>
    <w:rsid w:val="005260C8"/>
    <w:rsid w:val="00531F45"/>
    <w:rsid w:val="00535A5F"/>
    <w:rsid w:val="00546AB4"/>
    <w:rsid w:val="005476DF"/>
    <w:rsid w:val="00550E32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5F6B80"/>
    <w:rsid w:val="006002FD"/>
    <w:rsid w:val="00601288"/>
    <w:rsid w:val="00603DE6"/>
    <w:rsid w:val="00605EDB"/>
    <w:rsid w:val="00605EE6"/>
    <w:rsid w:val="006060AA"/>
    <w:rsid w:val="006061D2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760C1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9645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1EA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348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03D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03D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74DB-4F57-459E-B24D-44F27C58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3842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8</cp:revision>
  <cp:lastPrinted>2012-08-06T20:37:00Z</cp:lastPrinted>
  <dcterms:created xsi:type="dcterms:W3CDTF">2023-04-21T09:52:00Z</dcterms:created>
  <dcterms:modified xsi:type="dcterms:W3CDTF">2023-11-28T07:37:00Z</dcterms:modified>
</cp:coreProperties>
</file>