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CD4A0F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CD4A0F" w:rsidRPr="00CD4A0F" w:rsidRDefault="00CD4A0F" w:rsidP="00CD4A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CD4A0F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CD4A0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C4139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PACIJENTA</w:t>
      </w:r>
      <w:r w:rsidRPr="00CD4A0F">
        <w:rPr>
          <w:rFonts w:asciiTheme="minorHAnsi" w:hAnsiTheme="minorHAnsi" w:cstheme="minorHAnsi"/>
          <w:b/>
          <w:sz w:val="22"/>
          <w:szCs w:val="22"/>
        </w:rPr>
        <w:t xml:space="preserve"> NA OPERATIVNI ZAHVAT</w:t>
      </w:r>
    </w:p>
    <w:p w:rsidR="000C4139" w:rsidRPr="00CD4A0F" w:rsidRDefault="000C4139" w:rsidP="000C413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C4139" w:rsidRPr="00CD4A0F" w:rsidRDefault="000C4139" w:rsidP="000C41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CD4A0F"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vjeđa-blefaroplastika</w:t>
      </w:r>
      <w:proofErr w:type="spellEnd"/>
    </w:p>
    <w:p w:rsidR="00CD4A0F" w:rsidRDefault="00CD4A0F" w:rsidP="000C4139">
      <w:pPr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0C4139" w:rsidRPr="00CD4A0F" w:rsidRDefault="000C4139" w:rsidP="00CD4A0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D4A0F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blefaroplastika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višak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gornjih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donjih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CD4A0F">
        <w:rPr>
          <w:rFonts w:asciiTheme="minorHAnsi" w:hAnsiTheme="minorHAnsi" w:cstheme="minorHAnsi"/>
          <w:b/>
          <w:i/>
          <w:sz w:val="22"/>
          <w:szCs w:val="22"/>
        </w:rPr>
        <w:t>dermatohalazu</w:t>
      </w:r>
      <w:proofErr w:type="spellEnd"/>
      <w:r w:rsidR="00CD4A0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gornjih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blefaroplastike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  <w:r w:rsidRPr="00CD4A0F">
        <w:rPr>
          <w:rFonts w:cstheme="minorHAnsi"/>
        </w:rPr>
        <w:t>Zahvat se izvodi u lokalnoj anesteziji.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inci</w:t>
      </w:r>
      <w:bookmarkStart w:id="0" w:name="_GoBack"/>
      <w:r w:rsidRPr="00CD4A0F">
        <w:rPr>
          <w:rFonts w:asciiTheme="minorHAnsi" w:hAnsiTheme="minorHAnsi" w:cstheme="minorHAnsi"/>
          <w:sz w:val="22"/>
          <w:szCs w:val="22"/>
        </w:rPr>
        <w:t>zija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kože te rez koji se pravi u prirodnim naborima vjeđa. Ovom metodom se odstranjuje višak kože, dio </w:t>
      </w:r>
      <w:bookmarkEnd w:id="0"/>
      <w:r w:rsidRPr="00CD4A0F">
        <w:rPr>
          <w:rFonts w:asciiTheme="minorHAnsi" w:hAnsiTheme="minorHAnsi" w:cstheme="minorHAnsi"/>
          <w:sz w:val="22"/>
          <w:szCs w:val="22"/>
        </w:rPr>
        <w:t xml:space="preserve">mišića te po potrebi i masni jastučići.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Defekt kože se zatvara pojedinačnim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90 minuta.  Nakon operacije pacijent odmah ide kući. Prva redovna postoperativna kontrola je tjedan dana nakon operacije kada se i skidaju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Postoperativna terapija i njega uključuje primjenu analgetika i hladnih obloga.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  <w:r w:rsidRPr="00CD4A0F">
        <w:rPr>
          <w:rFonts w:cstheme="minorHAnsi"/>
        </w:rPr>
        <w:t>Otok i hematom traju otprilike od 7-10 dana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hematom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suho oko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epifora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(suzenje očiju),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krvarenje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infekcija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hipertrofični ožiljak,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lagoftalmus</w:t>
      </w:r>
      <w:proofErr w:type="spellEnd"/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postoperativna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ptoza</w:t>
      </w:r>
      <w:proofErr w:type="spellEnd"/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KONTRAINDIKACIJE ZA IZVOĐENJE ZAHVATA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Ovaj operativni postupak ne smije se izvesti u slučaju: </w:t>
      </w:r>
    </w:p>
    <w:p w:rsidR="000C4139" w:rsidRPr="00CD4A0F" w:rsidRDefault="000C4139" w:rsidP="00CD4A0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0C4139" w:rsidRPr="00CD4A0F" w:rsidRDefault="000C4139" w:rsidP="00CD4A0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0C4139" w:rsidRPr="00CD4A0F" w:rsidRDefault="000C4139" w:rsidP="00CD4A0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ako je prošlo manje od 6 mjeseci od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botulinskog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tretmana</w:t>
      </w:r>
    </w:p>
    <w:p w:rsidR="000C4139" w:rsidRPr="00CD4A0F" w:rsidRDefault="000C4139" w:rsidP="00CD4A0F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Kod stanja u kojih je indicirana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blefaroplastika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 nema adekvatne zamjene konzervativnim mjerama.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CD4A0F">
        <w:rPr>
          <w:rFonts w:asciiTheme="minorHAnsi" w:hAnsiTheme="minorHAnsi" w:cstheme="minorHAnsi"/>
          <w:b/>
          <w:sz w:val="22"/>
          <w:szCs w:val="22"/>
        </w:rPr>
        <w:t>PACIJENTA</w:t>
      </w:r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CD4A0F">
        <w:rPr>
          <w:rFonts w:asciiTheme="minorHAnsi" w:hAnsiTheme="minorHAnsi" w:cstheme="minorHAnsi"/>
          <w:sz w:val="22"/>
          <w:szCs w:val="22"/>
        </w:rPr>
        <w:t>i</w:t>
      </w:r>
      <w:r w:rsidRPr="00CD4A0F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17D9" w:rsidRDefault="000817D9" w:rsidP="000817D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0817D9" w:rsidRDefault="000817D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Potpis </w:t>
      </w:r>
      <w:r w:rsidR="00CD4A0F">
        <w:rPr>
          <w:rFonts w:asciiTheme="minorHAnsi" w:hAnsiTheme="minorHAnsi" w:cstheme="minorHAnsi"/>
          <w:sz w:val="22"/>
          <w:szCs w:val="22"/>
        </w:rPr>
        <w:t>pacijenta/skrbnika</w:t>
      </w:r>
      <w:r w:rsidRPr="00CD4A0F">
        <w:rPr>
          <w:rFonts w:asciiTheme="minorHAnsi" w:hAnsiTheme="minorHAnsi" w:cstheme="minorHAnsi"/>
          <w:sz w:val="22"/>
          <w:szCs w:val="22"/>
        </w:rPr>
        <w:t>: _________________________________________</w:t>
      </w:r>
    </w:p>
    <w:p w:rsidR="00CD4A0F" w:rsidRDefault="00CD4A0F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Potpis liječnika: __________________________________________</w:t>
      </w:r>
    </w:p>
    <w:p w:rsidR="00CD4A0F" w:rsidRDefault="00CD4A0F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D4A0F" w:rsidRPr="00CD4A0F" w:rsidRDefault="00CD4A0F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6B1619" w:rsidRPr="00CD4A0F" w:rsidRDefault="006B1619" w:rsidP="00CD4A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CD4A0F" w:rsidRDefault="006B1619" w:rsidP="00CD4A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CD4A0F" w:rsidRDefault="0008382C" w:rsidP="00CD4A0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CD4A0F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15" w:rsidRDefault="00142015">
      <w:r>
        <w:separator/>
      </w:r>
    </w:p>
  </w:endnote>
  <w:endnote w:type="continuationSeparator" w:id="0">
    <w:p w:rsidR="00142015" w:rsidRDefault="0014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0C4139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0C4139" w:rsidP="000C413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0C4139" w:rsidP="000C413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15" w:rsidRDefault="00142015">
      <w:r>
        <w:separator/>
      </w:r>
    </w:p>
  </w:footnote>
  <w:footnote w:type="continuationSeparator" w:id="0">
    <w:p w:rsidR="00142015" w:rsidRDefault="00142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0C4139" w:rsidTr="000C413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395B7D" w:rsidRDefault="000C4139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95B7D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395B7D" w:rsidRPr="00395B7D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o</w:t>
          </w:r>
          <w:r w:rsidRPr="00395B7D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95B7D">
            <w:rPr>
              <w:rFonts w:asciiTheme="minorHAnsi" w:hAnsiTheme="minorHAnsi" w:cstheme="minorHAnsi"/>
              <w:b/>
            </w:rPr>
            <w:t>vjeđa-blefaroplastika</w:t>
          </w:r>
          <w:proofErr w:type="spellEnd"/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KIR-OBR.37</w:t>
          </w:r>
        </w:p>
      </w:tc>
    </w:tr>
    <w:tr w:rsidR="000C4139" w:rsidTr="000C413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Default="000C413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0C4139" w:rsidTr="000C413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Default="000C413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0C4139" w:rsidTr="000C413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Default="000C413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817D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817D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395B7D" w:rsidRDefault="000C4139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95B7D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395B7D" w:rsidRPr="00395B7D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o</w:t>
          </w:r>
          <w:r w:rsidRPr="00395B7D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95B7D">
            <w:rPr>
              <w:rFonts w:asciiTheme="minorHAnsi" w:hAnsiTheme="minorHAnsi" w:cstheme="minorHAnsi"/>
              <w:b/>
            </w:rPr>
            <w:t>vjeđa-blefaroplastika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0C4139">
            <w:rPr>
              <w:rFonts w:ascii="Arial" w:hAnsi="Arial" w:cs="Arial"/>
              <w:b/>
              <w:sz w:val="22"/>
              <w:szCs w:val="22"/>
            </w:rPr>
            <w:t>37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817D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0817D9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52BE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17AA5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17D9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C4139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015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289F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95B7D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2BEC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173F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A0F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C4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0C413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C4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0C413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AFA8-8AB5-4F7C-B493-616454A3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2885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2023-04-21T10:28:00Z</dcterms:created>
  <dcterms:modified xsi:type="dcterms:W3CDTF">2023-11-28T08:07:00Z</dcterms:modified>
</cp:coreProperties>
</file>