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992F90" w:rsidRDefault="00992F90" w:rsidP="00992F90">
      <w:pPr>
        <w:rPr>
          <w:rFonts w:asciiTheme="minorHAnsi" w:hAnsiTheme="minorHAnsi" w:cstheme="minorHAnsi"/>
          <w:b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Primjena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autologne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kondicionirane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plazme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plazme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bogate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trombocitima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terapiji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boli</w:t>
      </w:r>
      <w:proofErr w:type="spellEnd"/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Pr="00992F90">
        <w:rPr>
          <w:rFonts w:asciiTheme="minorHAnsi" w:hAnsiTheme="minorHAnsi" w:cstheme="minorHAnsi"/>
          <w:b/>
          <w:sz w:val="22"/>
          <w:szCs w:val="22"/>
        </w:rPr>
        <w:t>ZAHVAT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aplikacije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plazme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bogate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trombocitima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,meko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disk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periradikularno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živac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pod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UZV, je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uvažavajući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pravila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asepse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antisepse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tanku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punkcijsku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uvedenu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okolinu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meko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disk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periradikularno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živac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unose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koncentrirane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imaju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protuupalno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djelovanje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smanjuju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štite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hrskavicu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2F90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zglobove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dubini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kuk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intraartikularni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RTG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kontrastom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zglobove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bliže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površini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ultrazvukom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dobiveni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imunološka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prijenos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koristeći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homologne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nevlastite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preparate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uzeti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uzorak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Vaše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oko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vene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ruci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specijalnu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epruvetu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epruveta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centrufugirati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razdjeliti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sastojci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serum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nalaze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koncentrirane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tegoba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pozitivnog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odgovora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trajati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individualno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specijaliste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ponavljati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B. KONTRAINDIKACIJE ZA IZVOĐENJE ZAHVATA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izvoditi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: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prethodno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dokazane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alergijske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lokalni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anestetik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visokosuplement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sistemske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organizma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zgrušavanja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uzimanja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lijekova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protiv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zgrušavanja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  -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trudnoće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upotrebe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Rtg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aparata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)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C. RIZICI/KOMPLIKACIJE ZAHVATA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Iako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izuzetno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dijagnostičkog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: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potkožno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)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ozljeda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vene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arterije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živca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aberantnog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položaja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alergijska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lokalni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anestetik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kortikosteroid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kontrasno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sredstvo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visokosuplement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D. IZJAVA </w:t>
      </w:r>
      <w:r w:rsidR="0006144F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usp</w:t>
      </w:r>
      <w:r w:rsidRPr="00992F90">
        <w:rPr>
          <w:rFonts w:asciiTheme="minorHAnsi" w:hAnsiTheme="minorHAnsi" w:cstheme="minorHAnsi"/>
          <w:sz w:val="22"/>
          <w:szCs w:val="22"/>
        </w:rPr>
        <w:t>jeh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varijabilani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16.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3.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169/04),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preporučeni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44F" w:rsidRDefault="0006144F" w:rsidP="0006144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06144F" w:rsidRDefault="0006144F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 xml:space="preserve">Potpis </w:t>
      </w:r>
      <w:r w:rsidR="0006144F">
        <w:rPr>
          <w:rFonts w:asciiTheme="minorHAnsi" w:hAnsiTheme="minorHAnsi" w:cstheme="minorHAnsi"/>
          <w:sz w:val="22"/>
          <w:szCs w:val="22"/>
        </w:rPr>
        <w:t>pacijenta</w:t>
      </w:r>
      <w:r>
        <w:rPr>
          <w:rFonts w:asciiTheme="minorHAnsi" w:hAnsiTheme="minorHAnsi" w:cstheme="minorHAnsi"/>
          <w:sz w:val="22"/>
          <w:szCs w:val="22"/>
        </w:rPr>
        <w:t>/skrbnika:</w:t>
      </w:r>
      <w:r w:rsidRPr="00660D54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liječnika: ________________________________________</w:t>
      </w: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92F90" w:rsidRPr="00992F90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8D" w:rsidRDefault="0078138D">
      <w:r>
        <w:separator/>
      </w:r>
    </w:p>
  </w:endnote>
  <w:endnote w:type="continuationSeparator" w:id="0">
    <w:p w:rsidR="0078138D" w:rsidRDefault="0078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F3A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992F90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92F90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8D" w:rsidRDefault="0078138D">
      <w:r>
        <w:separator/>
      </w:r>
    </w:p>
  </w:footnote>
  <w:footnote w:type="continuationSeparator" w:id="0">
    <w:p w:rsidR="0078138D" w:rsidRDefault="0078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F3A01" w:rsidTr="002F3A0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6A294D" w:rsidP="00F622A0">
          <w:pPr>
            <w:jc w:val="center"/>
          </w:pPr>
          <w:r>
            <w:t xml:space="preserve"> </w:t>
          </w:r>
          <w:r w:rsidR="002F3A01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6A672F" w:rsidRDefault="002F3A01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r w:rsidR="00992F90">
            <w:rPr>
              <w:rFonts w:asciiTheme="minorHAnsi" w:hAnsiTheme="minorHAnsi" w:cstheme="minorHAnsi"/>
              <w:b/>
            </w:rPr>
            <w:t>ACP</w:t>
          </w:r>
        </w:p>
      </w:tc>
      <w:tc>
        <w:tcPr>
          <w:tcW w:w="845" w:type="pct"/>
          <w:vAlign w:val="center"/>
        </w:tcPr>
        <w:p w:rsidR="002F3A01" w:rsidRPr="00997D88" w:rsidRDefault="00992F90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KIR-OBR.53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992F90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</w:t>
          </w:r>
          <w:r w:rsidR="002F3A01">
            <w:rPr>
              <w:rFonts w:ascii="Arial" w:hAnsi="Arial" w:cs="Arial"/>
              <w:b/>
              <w:sz w:val="22"/>
              <w:szCs w:val="22"/>
            </w:rPr>
            <w:t>.</w:t>
          </w:r>
          <w:r>
            <w:rPr>
              <w:rFonts w:ascii="Arial" w:hAnsi="Arial" w:cs="Arial"/>
              <w:b/>
              <w:sz w:val="22"/>
              <w:szCs w:val="22"/>
            </w:rPr>
            <w:t>10.</w:t>
          </w:r>
          <w:r w:rsidR="002F3A01">
            <w:rPr>
              <w:rFonts w:ascii="Arial" w:hAnsi="Arial" w:cs="Arial"/>
              <w:b/>
              <w:sz w:val="22"/>
              <w:szCs w:val="22"/>
            </w:rPr>
            <w:t>2023.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614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614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A672F" w:rsidRDefault="002F3A01" w:rsidP="002F3A0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92F9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92F90">
            <w:rPr>
              <w:rFonts w:asciiTheme="minorHAnsi" w:hAnsiTheme="minorHAnsi" w:cstheme="minorHAnsi"/>
              <w:b/>
            </w:rPr>
            <w:t xml:space="preserve"> - ACP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92F90">
            <w:rPr>
              <w:rFonts w:ascii="Arial" w:hAnsi="Arial" w:cs="Arial"/>
              <w:b/>
              <w:sz w:val="22"/>
              <w:szCs w:val="22"/>
            </w:rPr>
            <w:t>53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992F90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</w:t>
          </w:r>
          <w:r w:rsidR="002A571C">
            <w:rPr>
              <w:rFonts w:ascii="Arial" w:hAnsi="Arial" w:cs="Arial"/>
              <w:b/>
              <w:sz w:val="22"/>
              <w:szCs w:val="22"/>
            </w:rPr>
            <w:t>.</w:t>
          </w:r>
          <w:r>
            <w:rPr>
              <w:rFonts w:ascii="Arial" w:hAnsi="Arial" w:cs="Arial"/>
              <w:b/>
              <w:sz w:val="22"/>
              <w:szCs w:val="22"/>
            </w:rPr>
            <w:t xml:space="preserve">10. </w:t>
          </w:r>
          <w:r w:rsidR="002A571C">
            <w:rPr>
              <w:rFonts w:ascii="Arial" w:hAnsi="Arial" w:cs="Arial"/>
              <w:b/>
              <w:sz w:val="22"/>
              <w:szCs w:val="22"/>
            </w:rPr>
            <w:t>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614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614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72B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7FE4"/>
    <w:multiLevelType w:val="hybridMultilevel"/>
    <w:tmpl w:val="8C18D5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472B5"/>
    <w:rsid w:val="000552F8"/>
    <w:rsid w:val="0006144F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3A01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391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64B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12EF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294D"/>
    <w:rsid w:val="006A672F"/>
    <w:rsid w:val="006B1619"/>
    <w:rsid w:val="006B17F6"/>
    <w:rsid w:val="006C065B"/>
    <w:rsid w:val="006C5F4D"/>
    <w:rsid w:val="006C713C"/>
    <w:rsid w:val="006D2668"/>
    <w:rsid w:val="006D64B3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38D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2F90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992F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755F-95A8-460C-B8CE-840AF40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3305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2023-04-21T11:18:00Z</dcterms:created>
  <dcterms:modified xsi:type="dcterms:W3CDTF">2023-11-28T08:14:00Z</dcterms:modified>
</cp:coreProperties>
</file>